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Абатурова</w:t>
      </w:r>
      <w:r>
        <w:rPr>
          <w:rFonts w:ascii="Times New Roman" w:eastAsia="Times New Roman" w:hAnsi="Times New Roman" w:cs="Times New Roman"/>
          <w:b/>
          <w:bCs/>
        </w:rPr>
        <w:t xml:space="preserve"> Светлана Владиславовна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заместителем начальника Административного управления - начальником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Посадская</w:t>
      </w:r>
      <w:r>
        <w:rPr>
          <w:rFonts w:ascii="Times New Roman" w:eastAsia="Times New Roman" w:hAnsi="Times New Roman" w:cs="Times New Roman"/>
        </w:rPr>
        <w:t>, д.3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289, п.4 ст.289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явилась,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была надлежаще уведомлена,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об отправке </w:t>
      </w:r>
      <w:r>
        <w:rPr>
          <w:rFonts w:ascii="Times New Roman" w:eastAsia="Times New Roman" w:hAnsi="Times New Roman" w:cs="Times New Roman"/>
        </w:rPr>
        <w:t>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письмом </w:t>
      </w:r>
      <w:r>
        <w:rPr>
          <w:rFonts w:ascii="Times New Roman" w:eastAsia="Times New Roman" w:hAnsi="Times New Roman" w:cs="Times New Roman"/>
        </w:rPr>
        <w:t>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о лице ответственном за предоставление налоговых деклараций,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трудовой книжки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должностным регламентом.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Абатурову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